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3367" w14:textId="77777777" w:rsidR="00E35213" w:rsidRDefault="00000000">
      <w:pPr>
        <w:pStyle w:val="2"/>
        <w:spacing w:before="1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ПУБЛИЧНАЯ</w:t>
      </w:r>
      <w:r>
        <w:rPr>
          <w:rFonts w:asciiTheme="minorHAnsi" w:hAnsiTheme="minorHAnsi" w:cstheme="minorHAnsi"/>
          <w:spacing w:val="38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ОФЕРТА</w:t>
      </w:r>
    </w:p>
    <w:p w14:paraId="20EDBBBB" w14:textId="77777777" w:rsidR="00E35213" w:rsidRDefault="00000000">
      <w:pPr>
        <w:spacing w:before="3"/>
        <w:ind w:left="134" w:right="141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О</w:t>
      </w:r>
      <w:r>
        <w:rPr>
          <w:rFonts w:asciiTheme="minorHAnsi" w:hAnsiTheme="minorHAnsi" w:cstheme="minorHAnsi"/>
          <w:b/>
          <w:spacing w:val="32"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ЗАКЛЮЧЕНИИ</w:t>
      </w:r>
      <w:r>
        <w:rPr>
          <w:rFonts w:asciiTheme="minorHAnsi" w:hAnsiTheme="minorHAnsi" w:cstheme="minorHAnsi"/>
          <w:b/>
          <w:spacing w:val="30"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ДОГОВОРА</w:t>
      </w:r>
    </w:p>
    <w:p w14:paraId="5B47A915" w14:textId="77777777" w:rsidR="00E35213" w:rsidRDefault="00000000">
      <w:pPr>
        <w:pStyle w:val="2"/>
        <w:ind w:left="147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color w:val="0E0E0E"/>
          <w:sz w:val="22"/>
          <w:szCs w:val="20"/>
        </w:rPr>
        <w:t>HА</w:t>
      </w:r>
      <w:r>
        <w:rPr>
          <w:rFonts w:asciiTheme="minorHAnsi" w:hAnsiTheme="minorHAnsi" w:cstheme="minorHAnsi"/>
          <w:color w:val="0E0E0E"/>
          <w:spacing w:val="22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УСЛУГУ</w:t>
      </w:r>
      <w:r>
        <w:rPr>
          <w:rFonts w:asciiTheme="minorHAnsi" w:hAnsiTheme="minorHAnsi" w:cstheme="minorHAnsi"/>
          <w:spacing w:val="9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«Trade</w:t>
      </w:r>
      <w:r>
        <w:rPr>
          <w:rFonts w:asciiTheme="minorHAnsi" w:hAnsiTheme="minorHAnsi" w:cstheme="minorHAnsi"/>
          <w:spacing w:val="10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In»</w:t>
      </w:r>
    </w:p>
    <w:p w14:paraId="672E74A6" w14:textId="77777777" w:rsidR="00E35213" w:rsidRDefault="00E35213">
      <w:pPr>
        <w:pStyle w:val="af9"/>
        <w:spacing w:before="10"/>
        <w:rPr>
          <w:rFonts w:asciiTheme="minorHAnsi" w:hAnsiTheme="minorHAnsi" w:cstheme="minorHAnsi"/>
          <w:b/>
          <w:sz w:val="22"/>
          <w:szCs w:val="20"/>
        </w:rPr>
      </w:pPr>
    </w:p>
    <w:p w14:paraId="7C3E0554" w14:textId="77777777" w:rsidR="00E35213" w:rsidRDefault="00000000">
      <w:pPr>
        <w:pStyle w:val="af9"/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Общество с ограниченной ответственностью «РОМАТИ» (далее — «Общество»), в лице Генерального директора Ремеза И.А., действующего на основании Устава, настоящей Публичной офертой предлагает любым  совершеннолетним дееспособным физическим лицам, приобретающим технику торговой марки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 xml:space="preserve"> в подразделении Общества, расположенным по адресу г. Москва, ул. Рублевское шоссе, дом 22 корпус 1, на официальном сайте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com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ru</w:t>
      </w:r>
      <w:r>
        <w:rPr>
          <w:rFonts w:asciiTheme="minorHAnsi" w:hAnsiTheme="minorHAnsi" w:cstheme="minorHAnsi"/>
          <w:sz w:val="22"/>
          <w:szCs w:val="20"/>
        </w:rPr>
        <w:t>, а также в фирменных розничных магазинах ООО «РОМАТИ», согласно адресам опубликованным на официальном сайте, и присоединившимся к Программе лояльности ООО «РОМАТИ», заключить Договор об оказании услуги «Trade In» (далее — «Договор»). Услуга «</w:t>
      </w:r>
      <w:r>
        <w:rPr>
          <w:rFonts w:asciiTheme="minorHAnsi" w:hAnsiTheme="minorHAnsi" w:cstheme="minorHAnsi"/>
          <w:sz w:val="22"/>
          <w:szCs w:val="20"/>
          <w:lang w:val="en-US"/>
        </w:rPr>
        <w:t>Trade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In</w:t>
      </w:r>
      <w:r>
        <w:rPr>
          <w:rFonts w:asciiTheme="minorHAnsi" w:hAnsiTheme="minorHAnsi" w:cstheme="minorHAnsi"/>
          <w:sz w:val="22"/>
          <w:szCs w:val="20"/>
        </w:rPr>
        <w:t>» проводится в периоды 10.04.2025 – 31.05.2025, действие Услуги может быть прекращено без предварительного уведомления.</w:t>
      </w:r>
    </w:p>
    <w:p w14:paraId="725F5F79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В соответствии с пунктом 2 статьи 437 Гражданского Кодекса Российской Федерации, в случае согласия с изложенными в настоящей Публичной оферте условиями Пользователь осуществляет акцепт настоящей Публичной оферты путем посещения подразделения Общества и передачи Обществу в собственность Техники с целью дальнейшего приобретения Пользователем в посещенном подразделении Общества Оборудования согласно условиям услуги «Trade In», описанным в настоящей Публичной оферте, что одновременно является подтверждением заключения Договора.</w:t>
      </w:r>
    </w:p>
    <w:p w14:paraId="4FDE9DD1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Ознакомление Пользователя с условиями настоящей Публичной оферты осуществляется Обществом путем размещения текста настоящей Публичной оферты в свободном доступе на Сайте Общества и в подразделении Общества, а также путём предоставления Пользователю возможности ознакомиться с текстом настоящей Публичной оферты путём размещения в подразделении Общества QR-кoдa, посредством сканирования которого с помощью любого смартфона Пользователь получает доступ к тексту настоящей Публичной оферты, размещенному на Сайте Общества.</w:t>
      </w:r>
    </w:p>
    <w:p w14:paraId="2A593451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1. ОПРЕДЕЛЕНИЯ</w:t>
      </w:r>
    </w:p>
    <w:p w14:paraId="3B38D5A7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1.1. Услуга «Trade In» или услуга - услуга по предоставлению пользователю, участнику Программы лояльности ООО «РОМАТИ», скидки на приобретение Оборудования у Общества, при условии личного обращения Пользователя в подразделение Общества и передачи Техники, находящейся в собственности у Пользователя, в подразделение Общества и последующего приобретения Оборудования. Услуга может быть оказана Пользователю исключительно непосредственно в день обращения Пользователя и передачи Техники в подразделении Общества, на официальном сайте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com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ru</w:t>
      </w:r>
      <w:r>
        <w:rPr>
          <w:rFonts w:asciiTheme="minorHAnsi" w:hAnsiTheme="minorHAnsi" w:cstheme="minorHAnsi"/>
          <w:sz w:val="22"/>
          <w:szCs w:val="20"/>
        </w:rPr>
        <w:t>, а также в фирменных розничных магазинах ООО «РОМАТИ».</w:t>
      </w:r>
    </w:p>
    <w:p w14:paraId="0E69336C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В рамках </w:t>
      </w:r>
      <w:r>
        <w:rPr>
          <w:rFonts w:asciiTheme="minorHAnsi" w:hAnsiTheme="minorHAnsi" w:cstheme="minorHAnsi"/>
          <w:sz w:val="22"/>
          <w:szCs w:val="20"/>
          <w:lang w:val="en-US"/>
        </w:rPr>
        <w:t>Trade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предоставляются следующие скидки от РРЦ (рекомендованная розничная цена, установленная на официальном сайте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com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ru</w:t>
      </w:r>
      <w:r>
        <w:rPr>
          <w:rFonts w:asciiTheme="minorHAnsi" w:hAnsiTheme="minorHAnsi" w:cstheme="minorHAnsi"/>
          <w:sz w:val="22"/>
          <w:szCs w:val="20"/>
        </w:rPr>
        <w:t xml:space="preserve"> и в официальных магазинах ООО «РОМАТИ», список магазинов опубликован на официальном сайте) на покупку устройства торговой марки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>:</w:t>
      </w:r>
    </w:p>
    <w:p w14:paraId="74E68235" w14:textId="77777777" w:rsidR="00E35213" w:rsidRDefault="00000000">
      <w:pPr>
        <w:pStyle w:val="af9"/>
        <w:numPr>
          <w:ilvl w:val="0"/>
          <w:numId w:val="2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Скидка 15% при обмене моющего беспроводного вертикального пылесоса любой торговой марки;</w:t>
      </w:r>
    </w:p>
    <w:p w14:paraId="4A1E3280" w14:textId="77777777" w:rsidR="00E35213" w:rsidRDefault="00000000">
      <w:pPr>
        <w:pStyle w:val="af9"/>
        <w:numPr>
          <w:ilvl w:val="0"/>
          <w:numId w:val="2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Скидка 25% при обращении в подразделение Клиентского центра ООО «РОМАТИ» для обмена моющих пылесосов старого поколения под торговыми марками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 xml:space="preserve"> и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air</w:t>
      </w:r>
      <w:r>
        <w:rPr>
          <w:rFonts w:asciiTheme="minorHAnsi" w:hAnsiTheme="minorHAnsi" w:cstheme="minorHAnsi"/>
          <w:sz w:val="22"/>
          <w:szCs w:val="20"/>
        </w:rPr>
        <w:t xml:space="preserve"> (артикулы </w:t>
      </w:r>
      <w:r>
        <w:rPr>
          <w:rFonts w:asciiTheme="minorHAnsi" w:hAnsiTheme="minorHAnsi" w:cstheme="minorHAnsi"/>
          <w:sz w:val="22"/>
          <w:szCs w:val="20"/>
          <w:lang w:val="en-US"/>
        </w:rPr>
        <w:t>RMVC</w:t>
      </w:r>
      <w:r>
        <w:rPr>
          <w:rFonts w:asciiTheme="minorHAnsi" w:hAnsiTheme="minorHAnsi" w:cstheme="minorHAnsi"/>
          <w:sz w:val="22"/>
          <w:szCs w:val="20"/>
        </w:rPr>
        <w:t>-551/553);</w:t>
      </w:r>
    </w:p>
    <w:p w14:paraId="03842D19" w14:textId="77777777" w:rsidR="00E35213" w:rsidRDefault="00000000">
      <w:pPr>
        <w:pStyle w:val="af9"/>
        <w:numPr>
          <w:ilvl w:val="0"/>
          <w:numId w:val="2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Скидка 20% при обмене утюжка (выпрямителя) волос с заявленной мощностью &gt;50 Вт любой торговой марки;</w:t>
      </w:r>
    </w:p>
    <w:p w14:paraId="00C2CE56" w14:textId="77777777" w:rsidR="00E35213" w:rsidRDefault="00000000">
      <w:pPr>
        <w:pStyle w:val="af9"/>
        <w:numPr>
          <w:ilvl w:val="0"/>
          <w:numId w:val="2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Скидка 20% при обмене фена/фена-стайлера для волос с заявленной мощностью </w:t>
      </w:r>
      <w:r>
        <w:rPr>
          <w:rFonts w:asciiTheme="minorHAnsi" w:hAnsiTheme="minorHAnsi" w:cstheme="minorHAnsi"/>
          <w:sz w:val="22"/>
          <w:szCs w:val="20"/>
          <w:lang w:val="en-US"/>
        </w:rPr>
        <w:t xml:space="preserve">&gt;1200 </w:t>
      </w:r>
      <w:r>
        <w:rPr>
          <w:rFonts w:asciiTheme="minorHAnsi" w:hAnsiTheme="minorHAnsi" w:cstheme="minorHAnsi"/>
          <w:sz w:val="22"/>
          <w:szCs w:val="20"/>
        </w:rPr>
        <w:t>Вт любой торговой марки.</w:t>
      </w:r>
    </w:p>
    <w:p w14:paraId="4C7259D6" w14:textId="77777777" w:rsidR="00E35213" w:rsidRDefault="00E35213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</w:p>
    <w:p w14:paraId="59ED411B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1.2. Оборудование — товары бытовой техники и электроники, приобретаемые Пользователем в любом подразделении Общества. Перечень Оборудования, которое Пользователь может приобрести на условиях настоящей Публичной оферты, приведен в Приложении № 2 к настоящей Публичной оферте.</w:t>
      </w:r>
    </w:p>
    <w:p w14:paraId="7DE7905B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1.З. Пользователь — физическое лицо, использующее Оборудование/Технику для целей, несвязанных с осуществлением предпринимательской деятельности, являвшееся собственником Техники, в том числе приобретенной у Общества, планирующее приобрести у Общества Оборудование для целей, несвязанных с осуществлением предпринимательской деятельности, и обратившееся в подразделение Общества с целью приобретения у Общества Оборудования при условии передачи в собственность Обществу Техники. Пользователь должен являться участником Программы лояльности ООО «РОМАТИ». Положения программы лояльности описаны на официальном сайте https://remez.com.ru/dogovor-oferty/.</w:t>
      </w:r>
    </w:p>
    <w:p w14:paraId="3799F450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1.4. Акцепт Оферты — полное принятие Оферты путём осуществления действий, указанных в разделе 3 настоящей Публичной оферты.</w:t>
      </w:r>
    </w:p>
    <w:p w14:paraId="283E6147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1.5. Техника — устройства любых торговых марок в категориях: беспроводные моющие вертикальные пылесосы, фены-выпрямители, утюжки для волос, фены, фены-стайлеры, соответствующие заявленным техническим параметрам и характеристикам, бывшие в использовании (употреблении), находящиеся в собственности у Пользователя, официально ввезенные на территорию Российской Федерации изготовителем или импортерами, а также ввезенные на территорию Российской Федерации без согласия правообладателей в соответствии с Приказом Минпромторга России № 2701 от 21.07.2023</w:t>
      </w:r>
      <w:r>
        <w:rPr>
          <w:rFonts w:asciiTheme="minorHAnsi" w:hAnsiTheme="minorHAnsi" w:cstheme="minorHAnsi"/>
          <w:sz w:val="22"/>
          <w:szCs w:val="20"/>
          <w:lang w:val="en-US"/>
        </w:rPr>
        <w:t> </w:t>
      </w:r>
      <w:r>
        <w:rPr>
          <w:rFonts w:asciiTheme="minorHAnsi" w:hAnsiTheme="minorHAnsi" w:cstheme="minorHAnsi"/>
          <w:sz w:val="22"/>
          <w:szCs w:val="20"/>
        </w:rPr>
        <w:t>г.</w:t>
      </w:r>
    </w:p>
    <w:p w14:paraId="7C26ADD1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Технические характеристики устройств, доступных для обмена в </w:t>
      </w:r>
      <w:r>
        <w:rPr>
          <w:rFonts w:asciiTheme="minorHAnsi" w:hAnsiTheme="minorHAnsi" w:cstheme="minorHAnsi"/>
          <w:sz w:val="22"/>
          <w:szCs w:val="20"/>
          <w:lang w:val="en-US"/>
        </w:rPr>
        <w:t>Trade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в рамках данной публичной оферты:</w:t>
      </w:r>
    </w:p>
    <w:p w14:paraId="72E720A3" w14:textId="77777777" w:rsidR="00E35213" w:rsidRDefault="00000000">
      <w:pPr>
        <w:pStyle w:val="af9"/>
        <w:numPr>
          <w:ilvl w:val="0"/>
          <w:numId w:val="3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Беспроводные моющие пылесосы вертикального типа;</w:t>
      </w:r>
    </w:p>
    <w:p w14:paraId="27DBF4D8" w14:textId="77777777" w:rsidR="00E35213" w:rsidRDefault="00000000">
      <w:pPr>
        <w:pStyle w:val="af9"/>
        <w:numPr>
          <w:ilvl w:val="0"/>
          <w:numId w:val="3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Утюжки, мощностью &gt;50 Вт;</w:t>
      </w:r>
    </w:p>
    <w:p w14:paraId="3C4CBE0A" w14:textId="77777777" w:rsidR="00E35213" w:rsidRDefault="00000000">
      <w:pPr>
        <w:pStyle w:val="af9"/>
        <w:numPr>
          <w:ilvl w:val="0"/>
          <w:numId w:val="3"/>
        </w:numPr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Фены, фены-стайлеры, мощностью &gt;1200 Вт.</w:t>
      </w:r>
    </w:p>
    <w:p w14:paraId="6723489E" w14:textId="77777777" w:rsidR="00E35213" w:rsidRDefault="00E35213">
      <w:pPr>
        <w:pStyle w:val="af9"/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</w:p>
    <w:p w14:paraId="4FA5BE13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1.6. Акт приема-передачи - письменное удостоверение передачи Пользователем Техники в собственность Обществу, подготовленное по форме Приложения № 1 к настоящей Публичной оферте и подписываемое совместно Пользователем и Обществом.</w:t>
      </w:r>
    </w:p>
    <w:p w14:paraId="2479AF3A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1.7. Сайт – официальный сайт Общества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com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ru</w:t>
      </w:r>
      <w:r>
        <w:rPr>
          <w:rFonts w:asciiTheme="minorHAnsi" w:hAnsiTheme="minorHAnsi" w:cstheme="minorHAnsi"/>
          <w:sz w:val="22"/>
          <w:szCs w:val="20"/>
        </w:rPr>
        <w:t>.</w:t>
      </w:r>
    </w:p>
    <w:p w14:paraId="6B44131E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1.8. Подразделение Общества – под подразделением Общества для целей настоящей публичной оферты понимаются любой из следующих объектов: 1) по адресу г. Москва, ул. Рублевское шоссе, дом 22 корпус 1) сайт Общества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com</w:t>
      </w:r>
      <w:r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  <w:lang w:val="en-US"/>
        </w:rPr>
        <w:t>ru</w:t>
      </w:r>
      <w:r>
        <w:rPr>
          <w:rFonts w:asciiTheme="minorHAnsi" w:hAnsiTheme="minorHAnsi" w:cstheme="minorHAnsi"/>
          <w:sz w:val="22"/>
          <w:szCs w:val="20"/>
        </w:rPr>
        <w:t>, 3) фирменные магазины ООО «РОМАТИ», согласно адресам опубликованным на официальном сайте.</w:t>
      </w:r>
    </w:p>
    <w:p w14:paraId="2D9E57F1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1.9. Программа лояльности ООО «РОМАТИ» — это комплекс действий и мероприятий, предоставляющих участникам «Бонусной программы» предусмотренные настоящим Положением привилегии.; для получения услуги по настоящему Договору, пользователь может уже быть участником данной программы или подключиться к ней в день обращения за услугой, но до ее оказания. </w:t>
      </w:r>
    </w:p>
    <w:p w14:paraId="2EA07DB6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Для регистрации в Программе лояльности непосредственно в день оказания услуги по настоящему Договору, Пользователь в момент подписания с Обществом Акта приема-передачи (как это описано в Разделе 3 настоящей Публичной оферты) заполняет в Акте соответствующие графы «ФИО, номер телефона, электронная почта», и далее сообщает Обществу цифровой код, полученный Пользователем по указанному им номеру телефона в виде </w:t>
      </w:r>
      <w:r>
        <w:rPr>
          <w:rFonts w:asciiTheme="minorHAnsi" w:hAnsiTheme="minorHAnsi" w:cstheme="minorHAnsi"/>
          <w:sz w:val="22"/>
          <w:szCs w:val="20"/>
          <w:lang w:val="en-US"/>
        </w:rPr>
        <w:t>SMS</w:t>
      </w:r>
      <w:r>
        <w:rPr>
          <w:rFonts w:asciiTheme="minorHAnsi" w:hAnsiTheme="minorHAnsi" w:cstheme="minorHAnsi"/>
          <w:sz w:val="22"/>
          <w:szCs w:val="20"/>
        </w:rPr>
        <w:t xml:space="preserve">-сообщения. Общество осуществляет на основании данного цифрового кода регистрацию Пользователя в Программе </w:t>
      </w:r>
      <w:r>
        <w:rPr>
          <w:rFonts w:asciiTheme="minorHAnsi" w:hAnsiTheme="minorHAnsi" w:cstheme="minorHAnsi"/>
          <w:sz w:val="22"/>
          <w:szCs w:val="20"/>
        </w:rPr>
        <w:lastRenderedPageBreak/>
        <w:t xml:space="preserve">лояльности. После регистрации Общество оказывает Пользователю услугу согласно настоящей Публичной оферте. Пользователь уведомлен и согласен, что за получение </w:t>
      </w:r>
      <w:r>
        <w:rPr>
          <w:rFonts w:asciiTheme="minorHAnsi" w:hAnsiTheme="minorHAnsi" w:cstheme="minorHAnsi"/>
          <w:sz w:val="22"/>
          <w:szCs w:val="20"/>
          <w:lang w:val="en-US"/>
        </w:rPr>
        <w:t>SMS</w:t>
      </w:r>
      <w:r>
        <w:rPr>
          <w:rFonts w:asciiTheme="minorHAnsi" w:hAnsiTheme="minorHAnsi" w:cstheme="minorHAnsi"/>
          <w:sz w:val="22"/>
          <w:szCs w:val="20"/>
        </w:rPr>
        <w:t>-сообщения с него может быть взята плата согласно тарифам его сотового Оператора.</w:t>
      </w:r>
    </w:p>
    <w:p w14:paraId="5E037BB1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2. ПРЕДМЕТ СОГЛАШЕНИЯ</w:t>
      </w:r>
    </w:p>
    <w:p w14:paraId="46AD2791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2.1. В случае акцепта настоящей Публичной оферты, Пользователь обязуется выбрать и оплатить Оборудование в соответствии с условиями п. 5.1 настоящей Публичной оферты.</w:t>
      </w:r>
    </w:p>
    <w:p w14:paraId="7BD3BF96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2.2. Настоящей Публичной офертой Общество предоставляет Пользователю возможность заключить Договор путем акцепта настоящей Публичной оферты способом, указанным в п. 3.1 настоящей Публичной оферты.</w:t>
      </w:r>
    </w:p>
    <w:p w14:paraId="0569DC80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3. АКЦЕПТ</w:t>
      </w:r>
    </w:p>
    <w:p w14:paraId="493CC97B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3.1. Акцептом Оферты считается обращение Пользователя в Подразделение Общества с целью приобретения Оборудования, сопровождающееся передачей в собственность Обществу Техники на основании подписанного Обществом и Пользователем Акта приёма-передачи и регистрации в Программе лояльности (если Пользователь еще не является участником данной Программы)</w:t>
      </w:r>
    </w:p>
    <w:p w14:paraId="3C0A4941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3.2. В результате Акцепта Оферты, указанного в п. 3.1 настоящей Публичной оферты, Пользователь считается заключившим с Обществом Договор и принявшим все условия настоящей Публичной оферты. </w:t>
      </w:r>
    </w:p>
    <w:p w14:paraId="71A906B8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3.3 В случае, если Пользователь не совершил действий, указанных п. 3.1 настоящей Публичной оферты предоставление ему Услуги не осуществляется.</w:t>
      </w:r>
    </w:p>
    <w:p w14:paraId="7C73C550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3.4. В целях Акцепта Оферты Пользователь передаёт на основании Акта приема-передачи Технику в подразделение Общества, расположенное в соответствующем Регионе приобретения Оборудования.</w:t>
      </w:r>
    </w:p>
    <w:p w14:paraId="006593AA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3.5. После передачи Техники Обществу, подтвержденной подписанием Обществом и Пользователем Акта приема-передачи, у Пользователя появляется возможность приобрести Оборудование в подразделениях Общества, описанных в п.1.1 в соответствии с условиями настоящей Публичной оферты.</w:t>
      </w:r>
    </w:p>
    <w:p w14:paraId="53DE8F23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3.6. Передача Оборудования осуществляется непосредственно в момент приобретения Оборудования в Подразделении Общества на основании, подготовленного Обществом и подписанного Обществом и Пользователем заказа, в котором указываются наименование, ассортимент и стоимость Оборудования, приобретаемого Пользователем в рамках настоящей Публичной оферты.</w:t>
      </w:r>
    </w:p>
    <w:p w14:paraId="1C261C44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3.7. Пользователь гарантирует, что является собственником Техники, Техника в споре или под арестом не состоит, не является предметом залога, не обременена другими правами третьих лиц и не нарушает права третьих лиц.</w:t>
      </w:r>
    </w:p>
    <w:p w14:paraId="7D1729CD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4. УСЛОВИЯ ОКАЗАНИЯ УСЛУГИ</w:t>
      </w:r>
    </w:p>
    <w:p w14:paraId="7CAB9A26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4.1. Техника должна предоставляться Пользователем в базовой комплектации (под базовой комплектацией понимается: основное устройство).</w:t>
      </w:r>
    </w:p>
    <w:p w14:paraId="5E45AD99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4.2. По Услуге принимается Техника, перечисленная в п. 1.5 настоящей Публичной оферты. В случае возврата Пользователем Оборудования, которое было приобретено с оказанием Услуги, ранее сданная Пользователем Техника не возвращается.</w:t>
      </w:r>
    </w:p>
    <w:p w14:paraId="3221A1EC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4.3. Одним Пользователем на условиях настоящей Публичной оферты может быть передано Обществу не более 1 (одной) единицы Техники и приобретено не более 1 (одной) единицы Оборудования в связи с ограниченным количеством Оборудования.</w:t>
      </w:r>
    </w:p>
    <w:p w14:paraId="4F4D9E52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4.4 Скидка, предоставляемая Пользователю в рамках оказания Услуги, не суммируется с другими скидками и акциями, которые действуют в Обществе.</w:t>
      </w:r>
    </w:p>
    <w:p w14:paraId="6FBF837B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4.5. В рамках Услуги не предполагается приобретение Оборудования Пользователем на условиях </w:t>
      </w:r>
      <w:r>
        <w:rPr>
          <w:rFonts w:asciiTheme="minorHAnsi" w:hAnsiTheme="minorHAnsi" w:cstheme="minorHAnsi"/>
          <w:sz w:val="22"/>
          <w:szCs w:val="20"/>
        </w:rPr>
        <w:lastRenderedPageBreak/>
        <w:t>кредита и/или рассрочки.</w:t>
      </w:r>
    </w:p>
    <w:p w14:paraId="212401C4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4.6. При передаче Обществу Техники Пользователь вправе приобрести на условиях настоящей Публичной Оферты Оборудование, ассортимент которого представлен в Приложении №2 к настоящей Публичной оферте.</w:t>
      </w:r>
    </w:p>
    <w:p w14:paraId="7D648E3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4.7. Общество оставляет за co6oй право изменять ассортимент Оборудования, которое может быть приобретено Пользователем в рамках настоящей Публичной оферты, в одностороннем порядке. Уведомление об изменении ассортимента Оборудования доводится до сведения Пользователей посредством обновления текста настоящей Публичной оферты, размещенного на Сайте Общества и находящегося в свободном доступа в подразделении Общества.</w:t>
      </w:r>
    </w:p>
    <w:p w14:paraId="15B2031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4.8. Скидка, указанная в п. 1.1 настоящей Публичной оферты, может быть применена Пользователем исключительно в случае приобретения Пользователем Оборудования на условиях настоящей Публичной оферты непосредственно в день обращения Пользователя в подразделение Общества при условии передачи Обществу Техники, подтверждённой подписанным Обществом и Пользователем Акта приёма-передачи.</w:t>
      </w:r>
    </w:p>
    <w:p w14:paraId="692E7607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4.9. Скидка, указанная в п. 1.1 настоящей Публичной оферты, может быть применена только тем Пользователем, который совершил Акцепт Оферты. Указанная скидка не подлежит передаче каким-либо третьим лицам.</w:t>
      </w:r>
    </w:p>
    <w:p w14:paraId="3672EC78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4.10. В случае если Пользователь передает в собственность Обществу Технику – моющий пылесос </w:t>
      </w:r>
      <w:r>
        <w:rPr>
          <w:rFonts w:asciiTheme="minorHAnsi" w:hAnsiTheme="minorHAnsi" w:cstheme="minorHAnsi"/>
          <w:sz w:val="22"/>
          <w:szCs w:val="20"/>
          <w:lang w:val="en-US"/>
        </w:rPr>
        <w:t>RMVC</w:t>
      </w:r>
      <w:r>
        <w:rPr>
          <w:rFonts w:asciiTheme="minorHAnsi" w:hAnsiTheme="minorHAnsi" w:cstheme="minorHAnsi"/>
          <w:sz w:val="22"/>
          <w:szCs w:val="20"/>
        </w:rPr>
        <w:t xml:space="preserve">-551, </w:t>
      </w:r>
      <w:r>
        <w:rPr>
          <w:rFonts w:asciiTheme="minorHAnsi" w:hAnsiTheme="minorHAnsi" w:cstheme="minorHAnsi"/>
          <w:sz w:val="22"/>
          <w:szCs w:val="20"/>
          <w:lang w:val="en-US"/>
        </w:rPr>
        <w:t>RMVC</w:t>
      </w:r>
      <w:r>
        <w:rPr>
          <w:rFonts w:asciiTheme="minorHAnsi" w:hAnsiTheme="minorHAnsi" w:cstheme="minorHAnsi"/>
          <w:sz w:val="22"/>
          <w:szCs w:val="20"/>
        </w:rPr>
        <w:t xml:space="preserve">-553 торговой марки 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 xml:space="preserve"> (</w:t>
      </w:r>
      <w:r>
        <w:rPr>
          <w:rFonts w:asciiTheme="minorHAnsi" w:hAnsiTheme="minorHAnsi" w:cstheme="minorHAnsi"/>
          <w:sz w:val="22"/>
          <w:szCs w:val="20"/>
          <w:lang w:val="en-US"/>
        </w:rPr>
        <w:t>REMEZ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air</w:t>
      </w:r>
      <w:r>
        <w:rPr>
          <w:rFonts w:asciiTheme="minorHAnsi" w:hAnsiTheme="minorHAnsi" w:cstheme="minorHAnsi"/>
          <w:sz w:val="22"/>
          <w:szCs w:val="20"/>
        </w:rPr>
        <w:t>), находящуюся в эксплуатации, с целью замены моющие пылесосы нового поколения, Пользователь имеет право на скидку в размере 25% от РРЦ.</w:t>
      </w:r>
    </w:p>
    <w:p w14:paraId="71E69015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4.11. В случае если Пользователь обращается в Общество с запросом на гарантийный ремонт Техники, Пользователь имеет право на получение скидки в размере 25% на приобретение нового Оборудования из перечня, указанного в Приложении №2 к настоящей Публичной оферте.</w:t>
      </w:r>
    </w:p>
    <w:p w14:paraId="35326353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5. УСЛОВИЯ ОПЛАТЫ ОБОРУДОВАНИЯ</w:t>
      </w:r>
    </w:p>
    <w:p w14:paraId="69193DFE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5.1. В случае Акцепта настоящей Публичной оферты оплата за Оборудование, приобретаемого Пользователем в подразделении Общества, осуществляется Пользователем через кассу/онлайн-кассу Подразделения путем наличного или безналичного расчёта. По факту оплаты за Оборудование Общество обязуется выдать Пользователю кассовый чек, подтверждающий факт оплаты.</w:t>
      </w:r>
    </w:p>
    <w:p w14:paraId="086C271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5.2. В случае возврата Пользователем приобретённого в рамках настоящей Публичной оферты Оборудования, возврат уплаченных Пользователем денежных средств осуществляется после передачи Пользователем Оборудования в Подразделение Общества безналичным способом путем перевода денежных средств на счет Пользователя в банке или наличными деньгами в случае, если Оборудование было оплачено наличными денежными средствами, а также только безналичным способом в случае оплаты Оборудование банковской картой.</w:t>
      </w:r>
    </w:p>
    <w:p w14:paraId="38258EAE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6. ИНЫЕ УСЛОВИЯ ОКАЗАНИЯ УСЛУГИ</w:t>
      </w:r>
    </w:p>
    <w:p w14:paraId="13DF6874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6.1 Общество оставляет за собой право на изменение условий предоставления Услуги при условии своевременного извещения Пользователей не менее чем за 2 (два) дня до введения указанных изменений путём размещения соответствующей информации (новой версии настоящей Публичной оферты) на Сайте Общества и в Подразделении Общества.</w:t>
      </w:r>
    </w:p>
    <w:p w14:paraId="7CB6E94D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6.2. Возврат Оборудования, как надлежащего, так и ненадлежащего Качества, осуществляется в соответствии с положениями законодательства Российской Федерации о защите прав потребителей.</w:t>
      </w:r>
    </w:p>
    <w:p w14:paraId="102133E6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6.3. Обработка персональных данных: Акцептуя настоящую Публичную оферты Пользователь выражает согласие на обработку его персональных данных: (фамилия, имя, отчество; дата рождения; контактный телефон; адрес электронной почты) ООО «РОМАТИ» (121615, Г.МОСКВА, </w:t>
      </w:r>
      <w:r>
        <w:rPr>
          <w:rFonts w:asciiTheme="minorHAnsi" w:hAnsiTheme="minorHAnsi" w:cstheme="minorHAnsi"/>
          <w:sz w:val="22"/>
          <w:szCs w:val="20"/>
        </w:rPr>
        <w:lastRenderedPageBreak/>
        <w:t>ВН.ТЕР.Г. МУНИЦИПАЛЬНЫЙ ОКРУГ КУНЦЕВО, Ш РУБЛЁВСКОЕ, Д. 22, К. 1, ПОМЕЩ. 364, ОГРН: 1167746874855, ИНН: 7730213981, КПП: 773101001). Цель обработки персональных данных: заключение Договора на услугу «Trade In».</w:t>
      </w:r>
    </w:p>
    <w:p w14:paraId="64D0BB05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Пользователь дает согласие на обработку Обществом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Пользователь дает свое согласие бессрочно. Настоящее согласие может быть отозвано Пользователем в любой момент по соглашению сторон. В случае неправомерного использования предоставленных данных согласие отзывается письменным заявлением. Пользователь также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разъяснены.</w:t>
      </w:r>
    </w:p>
    <w:p w14:paraId="36A39F0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6.4. Во всем остальном, что не предусмотрено настоящей Публичной офертой, Пользователь и Общество руководствуются положениями действующего законодательства Российской Федерации.</w:t>
      </w:r>
    </w:p>
    <w:p w14:paraId="3E19E009" w14:textId="77777777" w:rsidR="00E35213" w:rsidRDefault="00000000">
      <w:pPr>
        <w:pStyle w:val="af9"/>
        <w:spacing w:before="100" w:line="247" w:lineRule="auto"/>
        <w:ind w:left="165" w:right="180" w:firstLine="9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7. РЕКВИЗИТЫ ОБЩЕСТВА</w:t>
      </w:r>
    </w:p>
    <w:p w14:paraId="01B48E18" w14:textId="77777777" w:rsidR="00E35213" w:rsidRDefault="00000000">
      <w:pPr>
        <w:pStyle w:val="af9"/>
        <w:spacing w:before="100" w:line="247" w:lineRule="auto"/>
        <w:ind w:right="180" w:firstLine="165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Общество с ограниченной ответственностью «Ромати» (ООО «РОМАТИ»)</w:t>
      </w:r>
    </w:p>
    <w:p w14:paraId="06BBD383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Юридический адрес: 121615, г. Москва, муниципальный округ Кунцево вн.тер.г., Рублёвское ш, д. 22, к. 1, помещ. 364</w:t>
      </w:r>
    </w:p>
    <w:p w14:paraId="6EAE032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Банк: ПАО Сбербанк</w:t>
      </w:r>
    </w:p>
    <w:p w14:paraId="24BD148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Расчётный счет: 40702810840000101205</w:t>
      </w:r>
    </w:p>
    <w:p w14:paraId="04CA6B46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Кор. счет: 30101810400000000225</w:t>
      </w:r>
    </w:p>
    <w:p w14:paraId="64820E2E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БИК: 044525225</w:t>
      </w:r>
    </w:p>
    <w:p w14:paraId="6C66EBED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ИНН: 7730213981</w:t>
      </w:r>
    </w:p>
    <w:p w14:paraId="4375CE8C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КПП: 773101001</w:t>
      </w:r>
    </w:p>
    <w:p w14:paraId="1981969F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ОГРН 1167746874855</w:t>
      </w:r>
    </w:p>
    <w:p w14:paraId="1B7C095C" w14:textId="77777777" w:rsidR="00E35213" w:rsidRDefault="00E35213">
      <w:pPr>
        <w:pStyle w:val="af9"/>
        <w:spacing w:before="100" w:line="247" w:lineRule="auto"/>
        <w:ind w:right="180"/>
        <w:jc w:val="both"/>
        <w:rPr>
          <w:rFonts w:asciiTheme="minorHAnsi" w:hAnsiTheme="minorHAnsi" w:cstheme="minorHAnsi"/>
          <w:sz w:val="22"/>
          <w:szCs w:val="20"/>
        </w:rPr>
      </w:pPr>
    </w:p>
    <w:p w14:paraId="007FDFB9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ПОДПИСЬ ОТ ООО «РОМАТИ»</w:t>
      </w:r>
    </w:p>
    <w:p w14:paraId="44B672C1" w14:textId="77777777" w:rsidR="00E35213" w:rsidRDefault="00000000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Генеральный директор Ремез Игорь Анатольевич</w:t>
      </w:r>
    </w:p>
    <w:p w14:paraId="265D38F2" w14:textId="77777777" w:rsidR="00E35213" w:rsidRDefault="00E35213">
      <w:pPr>
        <w:pStyle w:val="af9"/>
        <w:spacing w:before="100" w:line="247" w:lineRule="auto"/>
        <w:ind w:left="165" w:right="180" w:firstLine="9"/>
        <w:jc w:val="both"/>
        <w:rPr>
          <w:rFonts w:asciiTheme="minorHAnsi" w:hAnsiTheme="minorHAnsi" w:cstheme="minorHAnsi"/>
          <w:sz w:val="22"/>
          <w:szCs w:val="20"/>
        </w:rPr>
      </w:pPr>
    </w:p>
    <w:p w14:paraId="615E7141" w14:textId="77777777" w:rsidR="00E35213" w:rsidRDefault="00E35213">
      <w:pPr>
        <w:rPr>
          <w:rFonts w:asciiTheme="minorHAnsi" w:hAnsiTheme="minorHAnsi" w:cstheme="minorHAnsi"/>
          <w:szCs w:val="20"/>
        </w:rPr>
      </w:pPr>
    </w:p>
    <w:p w14:paraId="7F2BC68B" w14:textId="77777777" w:rsidR="00E35213" w:rsidRDefault="00000000">
      <w:pPr>
        <w:rPr>
          <w:rFonts w:asciiTheme="minorHAnsi" w:hAnsiTheme="minorHAnsi" w:cstheme="minorHAnsi"/>
          <w:szCs w:val="20"/>
        </w:rPr>
        <w:sectPr w:rsidR="00E35213">
          <w:footerReference w:type="default" r:id="rId7"/>
          <w:pgSz w:w="11900" w:h="16840"/>
          <w:pgMar w:top="1100" w:right="620" w:bottom="280" w:left="158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Cs w:val="20"/>
        </w:rPr>
        <w:t xml:space="preserve">    ___________________________</w:t>
      </w:r>
    </w:p>
    <w:p w14:paraId="4D6CACF8" w14:textId="77777777" w:rsidR="00E35213" w:rsidRDefault="00000000">
      <w:pPr>
        <w:pStyle w:val="af9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>Приложение №1</w:t>
      </w:r>
    </w:p>
    <w:p w14:paraId="5D348447" w14:textId="77777777" w:rsidR="00E35213" w:rsidRDefault="00000000">
      <w:pPr>
        <w:pStyle w:val="af9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к Публичной оферте о заключении договора </w:t>
      </w:r>
    </w:p>
    <w:p w14:paraId="42C37DFF" w14:textId="77777777" w:rsidR="00E35213" w:rsidRDefault="00000000">
      <w:pPr>
        <w:pStyle w:val="af9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 услугу «Trade In»</w:t>
      </w:r>
    </w:p>
    <w:p w14:paraId="60C5702F" w14:textId="77777777" w:rsidR="00E35213" w:rsidRDefault="00E35213">
      <w:pPr>
        <w:pStyle w:val="af9"/>
        <w:spacing w:before="6"/>
        <w:rPr>
          <w:rFonts w:asciiTheme="minorHAnsi" w:hAnsiTheme="minorHAnsi" w:cstheme="minorHAnsi"/>
          <w:sz w:val="22"/>
          <w:szCs w:val="20"/>
        </w:rPr>
      </w:pPr>
    </w:p>
    <w:p w14:paraId="116D9F08" w14:textId="77777777" w:rsidR="00E35213" w:rsidRDefault="00000000">
      <w:pPr>
        <w:pStyle w:val="af9"/>
        <w:spacing w:before="6"/>
        <w:ind w:left="360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ФОРМА</w:t>
      </w:r>
    </w:p>
    <w:p w14:paraId="357AB539" w14:textId="77777777" w:rsidR="00E35213" w:rsidRDefault="00E35213">
      <w:pPr>
        <w:pStyle w:val="af9"/>
        <w:spacing w:before="6"/>
        <w:jc w:val="center"/>
        <w:rPr>
          <w:rFonts w:asciiTheme="minorHAnsi" w:hAnsiTheme="minorHAnsi" w:cstheme="minorHAnsi"/>
          <w:sz w:val="22"/>
          <w:szCs w:val="20"/>
        </w:rPr>
      </w:pPr>
    </w:p>
    <w:p w14:paraId="3F8711D7" w14:textId="77777777" w:rsidR="00E35213" w:rsidRDefault="00000000">
      <w:pPr>
        <w:pStyle w:val="af9"/>
        <w:spacing w:before="6"/>
        <w:ind w:left="360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Акт приема-передачи</w:t>
      </w:r>
    </w:p>
    <w:p w14:paraId="3BC43F8B" w14:textId="77777777" w:rsidR="00E35213" w:rsidRDefault="00000000">
      <w:pPr>
        <w:pStyle w:val="af9"/>
        <w:spacing w:before="6"/>
        <w:ind w:left="360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oт «___»__________20__ г.</w:t>
      </w:r>
    </w:p>
    <w:p w14:paraId="72C69A8C" w14:textId="77777777" w:rsidR="00E35213" w:rsidRDefault="00E35213">
      <w:pPr>
        <w:pStyle w:val="af9"/>
        <w:spacing w:before="6"/>
        <w:jc w:val="center"/>
        <w:rPr>
          <w:rFonts w:asciiTheme="minorHAnsi" w:hAnsiTheme="minorHAnsi" w:cstheme="minorHAnsi"/>
          <w:sz w:val="22"/>
          <w:szCs w:val="20"/>
        </w:rPr>
      </w:pPr>
    </w:p>
    <w:p w14:paraId="4823F202" w14:textId="77777777" w:rsidR="00E35213" w:rsidRDefault="00000000">
      <w:pPr>
        <w:pStyle w:val="af9"/>
        <w:tabs>
          <w:tab w:val="left" w:pos="5988"/>
        </w:tabs>
        <w:spacing w:before="7" w:line="254" w:lineRule="auto"/>
        <w:ind w:left="140" w:right="200" w:firstLine="17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Общество с ограниченной ответственностью «РОМАТИ», в лице Генерального директора Ремеза Игоря Анатольевича, действующего на основании Устава, именуемое в дальнейшем «Общество», с одной стороны, и ______________________________________________________________,  именуемый(ая) в дальнейшем «Пользователь», с другой стороны, совместно именуемые «Стороны», а по отдельности – «Сторона», руководствуясь условиями заключенной Сторонами____________ (указать дату) Публичной оферты о заключении договора на услугу «</w:t>
      </w:r>
      <w:r>
        <w:rPr>
          <w:rFonts w:asciiTheme="minorHAnsi" w:hAnsiTheme="minorHAnsi" w:cstheme="minorHAnsi"/>
          <w:sz w:val="22"/>
          <w:szCs w:val="20"/>
          <w:lang w:val="en-US"/>
        </w:rPr>
        <w:t>Trade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In</w:t>
      </w:r>
      <w:r>
        <w:rPr>
          <w:rFonts w:asciiTheme="minorHAnsi" w:hAnsiTheme="minorHAnsi" w:cstheme="minorHAnsi"/>
          <w:sz w:val="22"/>
          <w:szCs w:val="20"/>
        </w:rPr>
        <w:t>» (далее – «Договор») составили настоящий акт приема-передачи (далее – «Акт») о нижеследующем (далее по тексту применяются термины, обозначение которых указано в Договоре):</w:t>
      </w:r>
    </w:p>
    <w:p w14:paraId="26080807" w14:textId="77777777" w:rsidR="00E35213" w:rsidRDefault="00000000">
      <w:pPr>
        <w:pStyle w:val="afb"/>
        <w:numPr>
          <w:ilvl w:val="0"/>
          <w:numId w:val="1"/>
        </w:numPr>
        <w:tabs>
          <w:tab w:val="left" w:pos="348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Пользователь передал, а Общество приняло следующую Технику:</w:t>
      </w:r>
    </w:p>
    <w:p w14:paraId="1D28AB18" w14:textId="77777777" w:rsidR="00E35213" w:rsidRDefault="00E35213">
      <w:pPr>
        <w:pStyle w:val="af9"/>
        <w:spacing w:before="9"/>
        <w:rPr>
          <w:rFonts w:asciiTheme="minorHAnsi" w:hAnsiTheme="minorHAnsi" w:cstheme="minorHAnsi"/>
          <w:sz w:val="22"/>
          <w:szCs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67676B"/>
          <w:left w:val="single" w:sz="6" w:space="0" w:color="67676B"/>
          <w:bottom w:val="single" w:sz="6" w:space="0" w:color="67676B"/>
          <w:right w:val="single" w:sz="6" w:space="0" w:color="67676B"/>
          <w:insideH w:val="single" w:sz="6" w:space="0" w:color="67676B"/>
          <w:insideV w:val="single" w:sz="6" w:space="0" w:color="67676B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126"/>
        <w:gridCol w:w="1927"/>
        <w:gridCol w:w="2760"/>
      </w:tblGrid>
      <w:tr w:rsidR="00E35213" w14:paraId="4829E4CC" w14:textId="77777777">
        <w:trPr>
          <w:trHeight w:val="498"/>
        </w:trPr>
        <w:tc>
          <w:tcPr>
            <w:tcW w:w="2538" w:type="dxa"/>
            <w:vAlign w:val="center"/>
          </w:tcPr>
          <w:p w14:paraId="3C387430" w14:textId="77777777" w:rsidR="00E35213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Производитель:</w:t>
            </w:r>
          </w:p>
        </w:tc>
        <w:tc>
          <w:tcPr>
            <w:tcW w:w="2126" w:type="dxa"/>
            <w:vAlign w:val="center"/>
          </w:tcPr>
          <w:p w14:paraId="5CCE1F51" w14:textId="77777777" w:rsidR="00E35213" w:rsidRDefault="00000000">
            <w:pPr>
              <w:pStyle w:val="TableParagraph"/>
              <w:spacing w:before="30"/>
              <w:ind w:right="81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REMEZ</w:t>
            </w:r>
          </w:p>
        </w:tc>
        <w:tc>
          <w:tcPr>
            <w:tcW w:w="1927" w:type="dxa"/>
            <w:vAlign w:val="center"/>
          </w:tcPr>
          <w:p w14:paraId="6A944402" w14:textId="77777777" w:rsidR="00E35213" w:rsidRDefault="00000000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151515"/>
                <w:szCs w:val="20"/>
              </w:rPr>
              <w:t>Модель:</w:t>
            </w:r>
          </w:p>
        </w:tc>
        <w:tc>
          <w:tcPr>
            <w:tcW w:w="2760" w:type="dxa"/>
            <w:vAlign w:val="center"/>
          </w:tcPr>
          <w:p w14:paraId="5501FBE8" w14:textId="77777777" w:rsidR="00E35213" w:rsidRDefault="00E35213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35213" w14:paraId="06FE3538" w14:textId="77777777">
        <w:trPr>
          <w:trHeight w:val="548"/>
        </w:trPr>
        <w:tc>
          <w:tcPr>
            <w:tcW w:w="2538" w:type="dxa"/>
            <w:vAlign w:val="center"/>
          </w:tcPr>
          <w:p w14:paraId="0A3B4712" w14:textId="77777777" w:rsidR="00E35213" w:rsidRDefault="00000000">
            <w:pPr>
              <w:pStyle w:val="TableParagraph"/>
              <w:spacing w:line="193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111111"/>
                <w:szCs w:val="20"/>
              </w:rPr>
              <w:t>Дата покупки:</w:t>
            </w:r>
          </w:p>
        </w:tc>
        <w:tc>
          <w:tcPr>
            <w:tcW w:w="2126" w:type="dxa"/>
            <w:vAlign w:val="center"/>
          </w:tcPr>
          <w:p w14:paraId="1F2232AA" w14:textId="77777777" w:rsidR="00E35213" w:rsidRDefault="00E35213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7DFE7547" w14:textId="77777777" w:rsidR="00E35213" w:rsidRDefault="00000000">
            <w:pPr>
              <w:pStyle w:val="TableParagraph"/>
              <w:spacing w:before="92"/>
              <w:ind w:right="8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0C0C0C"/>
                <w:szCs w:val="20"/>
              </w:rPr>
              <w:t>Серийный</w:t>
            </w:r>
            <w:r>
              <w:rPr>
                <w:rFonts w:asciiTheme="minorHAnsi" w:hAnsiTheme="minorHAnsi" w:cstheme="minorHAnsi"/>
                <w:color w:val="0C0C0C"/>
                <w:spacing w:val="35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номер (если есть):</w:t>
            </w:r>
          </w:p>
        </w:tc>
        <w:tc>
          <w:tcPr>
            <w:tcW w:w="2760" w:type="dxa"/>
            <w:vAlign w:val="center"/>
          </w:tcPr>
          <w:p w14:paraId="25E6169C" w14:textId="77777777" w:rsidR="00E35213" w:rsidRDefault="00E35213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35213" w14:paraId="42ACFA66" w14:textId="77777777">
        <w:trPr>
          <w:trHeight w:val="548"/>
        </w:trPr>
        <w:tc>
          <w:tcPr>
            <w:tcW w:w="2538" w:type="dxa"/>
            <w:vAlign w:val="center"/>
          </w:tcPr>
          <w:p w14:paraId="614C50F3" w14:textId="77777777" w:rsidR="00E35213" w:rsidRDefault="00000000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111111"/>
                <w:szCs w:val="20"/>
              </w:rPr>
            </w:pPr>
            <w:r>
              <w:rPr>
                <w:rFonts w:asciiTheme="minorHAnsi" w:hAnsiTheme="minorHAnsi" w:cstheme="minorHAnsi"/>
                <w:color w:val="111111"/>
                <w:szCs w:val="20"/>
              </w:rPr>
              <w:t>Тел.:</w:t>
            </w:r>
          </w:p>
        </w:tc>
        <w:tc>
          <w:tcPr>
            <w:tcW w:w="2126" w:type="dxa"/>
            <w:vAlign w:val="center"/>
          </w:tcPr>
          <w:p w14:paraId="47CA6F8A" w14:textId="77777777" w:rsidR="00E35213" w:rsidRDefault="00E35213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3C25E53D" w14:textId="77777777" w:rsidR="00E35213" w:rsidRDefault="00000000">
            <w:pPr>
              <w:pStyle w:val="TableParagraph"/>
              <w:spacing w:before="92"/>
              <w:ind w:right="85"/>
              <w:rPr>
                <w:rFonts w:asciiTheme="minorHAnsi" w:hAnsiTheme="minorHAnsi" w:cstheme="minorHAnsi"/>
                <w:color w:val="0C0C0C"/>
                <w:szCs w:val="20"/>
              </w:rPr>
            </w:pPr>
            <w:r>
              <w:rPr>
                <w:rFonts w:asciiTheme="minorHAnsi" w:hAnsiTheme="minorHAnsi" w:cstheme="minorHAnsi"/>
                <w:color w:val="0C0C0C"/>
                <w:szCs w:val="20"/>
              </w:rPr>
              <w:t>Эл.почта:</w:t>
            </w:r>
          </w:p>
        </w:tc>
        <w:tc>
          <w:tcPr>
            <w:tcW w:w="2760" w:type="dxa"/>
            <w:vAlign w:val="center"/>
          </w:tcPr>
          <w:p w14:paraId="14D8226A" w14:textId="77777777" w:rsidR="00E35213" w:rsidRDefault="00E35213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0EF63F" w14:textId="77777777" w:rsidR="00E35213" w:rsidRDefault="00E35213">
      <w:pPr>
        <w:pStyle w:val="af9"/>
        <w:spacing w:before="2"/>
        <w:rPr>
          <w:rFonts w:asciiTheme="minorHAnsi" w:hAnsiTheme="minorHAnsi" w:cstheme="minorHAnsi"/>
          <w:sz w:val="22"/>
          <w:szCs w:val="20"/>
        </w:rPr>
      </w:pPr>
    </w:p>
    <w:p w14:paraId="36098489" w14:textId="77777777" w:rsidR="00E35213" w:rsidRDefault="00000000">
      <w:pPr>
        <w:pStyle w:val="af9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Примечание: </w:t>
      </w:r>
      <w:r>
        <w:rPr>
          <w:rFonts w:asciiTheme="minorHAnsi" w:hAnsiTheme="minorHAnsi" w:cstheme="minorHAnsi"/>
          <w:color w:val="000000" w:themeColor="text1"/>
          <w:sz w:val="22"/>
          <w:szCs w:val="20"/>
          <w:u w:val="single"/>
        </w:rPr>
        <w:t>____________________________________________________________________________</w:t>
      </w:r>
    </w:p>
    <w:p w14:paraId="262E57B6" w14:textId="77777777" w:rsidR="00E35213" w:rsidRDefault="00000000">
      <w:pPr>
        <w:pStyle w:val="af9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>__________________________________________________________________________________</w:t>
      </w:r>
    </w:p>
    <w:p w14:paraId="5AE79B2F" w14:textId="77777777" w:rsidR="00E35213" w:rsidRDefault="00E35213">
      <w:pPr>
        <w:pStyle w:val="af9"/>
        <w:spacing w:before="8"/>
        <w:rPr>
          <w:rFonts w:asciiTheme="minorHAnsi" w:hAnsiTheme="minorHAnsi" w:cstheme="minorHAnsi"/>
          <w:sz w:val="22"/>
          <w:szCs w:val="20"/>
        </w:rPr>
      </w:pPr>
    </w:p>
    <w:p w14:paraId="02395184" w14:textId="77777777" w:rsidR="00E35213" w:rsidRDefault="00000000">
      <w:pPr>
        <w:pStyle w:val="af9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Настоящий Акт вступает в законную силу с момента его подписания Сторонами.</w:t>
      </w:r>
    </w:p>
    <w:p w14:paraId="6BF8D698" w14:textId="77777777" w:rsidR="00E35213" w:rsidRDefault="00000000">
      <w:pPr>
        <w:pStyle w:val="af9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Скидка на приобретение Оборудования Пользователем на условиях Договора применима для 1 (одной) единицы Оборудования, приобретаемого в день подписания настоящего Акта.</w:t>
      </w:r>
    </w:p>
    <w:p w14:paraId="444D746A" w14:textId="77777777" w:rsidR="00E35213" w:rsidRDefault="00000000">
      <w:pPr>
        <w:pStyle w:val="af9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С момента подписания настоящего Акта право собственности на Технику, перечисленную в пункте 1 настоящего Акта, переходит к Обществу.</w:t>
      </w:r>
    </w:p>
    <w:p w14:paraId="6A77E657" w14:textId="77777777" w:rsidR="00E35213" w:rsidRDefault="00000000">
      <w:pPr>
        <w:pStyle w:val="afb"/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Подписывая настоящий Акт, Пользователь одновременно дает согласие на обработку своих персональных данных, согласно условиям Договора (п.6.3), а также в соответствии с Соглашением на обработку персональных данных, размещенном на сайте Общества по адресу https://remez.com.ru/private-policy/.</w:t>
      </w:r>
    </w:p>
    <w:p w14:paraId="14CC7DA9" w14:textId="77777777" w:rsidR="00E35213" w:rsidRDefault="00000000">
      <w:pPr>
        <w:pStyle w:val="af9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Настоящий Акт составлен в 2 (двух) экземплярах, по одному для каждой Сторон.</w:t>
      </w:r>
    </w:p>
    <w:p w14:paraId="03FD7F03" w14:textId="77777777" w:rsidR="00E35213" w:rsidRDefault="00E35213">
      <w:pPr>
        <w:pStyle w:val="af9"/>
        <w:spacing w:before="9"/>
        <w:rPr>
          <w:rFonts w:asciiTheme="minorHAnsi" w:hAnsiTheme="minorHAnsi" w:cstheme="minorHAnsi"/>
          <w:sz w:val="22"/>
          <w:szCs w:val="20"/>
        </w:rPr>
      </w:pPr>
    </w:p>
    <w:p w14:paraId="2EFE3590" w14:textId="77777777" w:rsidR="00E35213" w:rsidRDefault="00000000">
      <w:pPr>
        <w:pStyle w:val="af9"/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Технику сдал:                                                                               Технику принял:</w:t>
      </w:r>
    </w:p>
    <w:p w14:paraId="695993E0" w14:textId="77777777" w:rsidR="00E35213" w:rsidRDefault="00000000">
      <w:pPr>
        <w:pStyle w:val="af9"/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Пользователь                                                                                 ООО «РОМАТИ»</w:t>
      </w:r>
    </w:p>
    <w:p w14:paraId="2C8AEBEA" w14:textId="77777777" w:rsidR="00E35213" w:rsidRDefault="00000000">
      <w:pPr>
        <w:pStyle w:val="af9"/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_______________/_________________ /                 _______________/______________________/</w:t>
      </w:r>
    </w:p>
    <w:p w14:paraId="68894D4B" w14:textId="77777777" w:rsidR="00E35213" w:rsidRDefault="00E35213">
      <w:pPr>
        <w:pStyle w:val="af9"/>
        <w:spacing w:before="9"/>
        <w:rPr>
          <w:rFonts w:asciiTheme="minorHAnsi" w:hAnsiTheme="minorHAnsi" w:cstheme="minorHAnsi"/>
          <w:sz w:val="22"/>
          <w:szCs w:val="20"/>
        </w:rPr>
      </w:pPr>
    </w:p>
    <w:p w14:paraId="7667158D" w14:textId="77777777" w:rsidR="00E35213" w:rsidRDefault="00000000">
      <w:pPr>
        <w:tabs>
          <w:tab w:val="left" w:pos="4649"/>
        </w:tabs>
        <w:spacing w:before="93"/>
        <w:ind w:right="141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Подпись / ФИО                                                                               Подпись / ФИМ.П.</w:t>
      </w:r>
    </w:p>
    <w:p w14:paraId="6BB2C439" w14:textId="77777777" w:rsidR="00E35213" w:rsidRDefault="00E35213">
      <w:pPr>
        <w:tabs>
          <w:tab w:val="left" w:pos="4649"/>
        </w:tabs>
        <w:spacing w:before="93"/>
        <w:ind w:right="141"/>
        <w:jc w:val="center"/>
        <w:rPr>
          <w:rFonts w:asciiTheme="minorHAnsi" w:hAnsiTheme="minorHAnsi" w:cstheme="minorHAnsi"/>
          <w:b/>
          <w:szCs w:val="20"/>
        </w:rPr>
      </w:pPr>
    </w:p>
    <w:p w14:paraId="441E9E3E" w14:textId="77777777" w:rsidR="00E35213" w:rsidRDefault="00000000">
      <w:pPr>
        <w:pStyle w:val="af9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Приложение №2</w:t>
      </w:r>
    </w:p>
    <w:p w14:paraId="65A97AC7" w14:textId="77777777" w:rsidR="00E35213" w:rsidRDefault="00000000">
      <w:pPr>
        <w:pStyle w:val="af9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к Публичной оферте о заключении договора </w:t>
      </w:r>
    </w:p>
    <w:p w14:paraId="31D7FE5C" w14:textId="77777777" w:rsidR="00E35213" w:rsidRDefault="00000000">
      <w:pPr>
        <w:pStyle w:val="af9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 услугу «Trade In»</w:t>
      </w:r>
    </w:p>
    <w:p w14:paraId="4645CFA3" w14:textId="77777777" w:rsidR="00E35213" w:rsidRDefault="00E35213">
      <w:pPr>
        <w:pStyle w:val="af9"/>
        <w:rPr>
          <w:rFonts w:asciiTheme="minorHAnsi" w:hAnsiTheme="minorHAnsi" w:cstheme="minorHAnsi"/>
          <w:sz w:val="22"/>
          <w:szCs w:val="20"/>
        </w:rPr>
      </w:pPr>
    </w:p>
    <w:p w14:paraId="7F3B6D3D" w14:textId="77777777" w:rsidR="00E35213" w:rsidRDefault="00E35213">
      <w:pPr>
        <w:pStyle w:val="af9"/>
        <w:spacing w:before="6"/>
        <w:rPr>
          <w:rFonts w:asciiTheme="minorHAnsi" w:hAnsiTheme="minorHAnsi" w:cstheme="minorHAnsi"/>
          <w:sz w:val="22"/>
          <w:szCs w:val="20"/>
        </w:rPr>
      </w:pPr>
    </w:p>
    <w:p w14:paraId="25DAB2E0" w14:textId="77777777" w:rsidR="00E35213" w:rsidRDefault="00000000">
      <w:pPr>
        <w:ind w:left="141" w:right="141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Ассортимент</w:t>
      </w:r>
      <w:r>
        <w:rPr>
          <w:rFonts w:asciiTheme="minorHAnsi" w:hAnsiTheme="minorHAnsi" w:cstheme="minorHAnsi"/>
          <w:spacing w:val="45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Оборудования</w:t>
      </w:r>
    </w:p>
    <w:p w14:paraId="520CFCA3" w14:textId="77777777" w:rsidR="00E35213" w:rsidRDefault="00E35213">
      <w:pPr>
        <w:ind w:left="141" w:right="141"/>
        <w:jc w:val="center"/>
        <w:rPr>
          <w:rFonts w:asciiTheme="minorHAnsi" w:hAnsiTheme="minorHAnsi" w:cstheme="minorHAnsi"/>
          <w:szCs w:val="20"/>
        </w:rPr>
      </w:pPr>
    </w:p>
    <w:tbl>
      <w:tblPr>
        <w:tblStyle w:val="TableNormal"/>
        <w:tblpPr w:leftFromText="180" w:rightFromText="180" w:vertAnchor="text" w:horzAnchor="margin" w:tblpY="194"/>
        <w:tblW w:w="8923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6680"/>
      </w:tblGrid>
      <w:tr w:rsidR="00E35213" w14:paraId="7F8FDB2A" w14:textId="77777777">
        <w:trPr>
          <w:trHeight w:val="411"/>
        </w:trPr>
        <w:tc>
          <w:tcPr>
            <w:tcW w:w="2243" w:type="dxa"/>
          </w:tcPr>
          <w:p w14:paraId="5744DB12" w14:textId="77777777" w:rsidR="00E35213" w:rsidRDefault="00000000">
            <w:pPr>
              <w:pStyle w:val="TableParagraph"/>
              <w:spacing w:before="33"/>
              <w:ind w:left="199" w:right="162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080808"/>
                <w:szCs w:val="20"/>
              </w:rPr>
              <w:t>Артикул</w:t>
            </w:r>
          </w:p>
        </w:tc>
        <w:tc>
          <w:tcPr>
            <w:tcW w:w="6680" w:type="dxa"/>
          </w:tcPr>
          <w:p w14:paraId="079523EC" w14:textId="77777777" w:rsidR="00E35213" w:rsidRDefault="00000000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Наименование</w:t>
            </w:r>
          </w:p>
        </w:tc>
      </w:tr>
      <w:tr w:rsidR="00E35213" w14:paraId="775677D3" w14:textId="77777777">
        <w:trPr>
          <w:trHeight w:val="502"/>
        </w:trPr>
        <w:tc>
          <w:tcPr>
            <w:tcW w:w="2243" w:type="dxa"/>
            <w:vAlign w:val="center"/>
          </w:tcPr>
          <w:p w14:paraId="4CD7D092" w14:textId="77777777" w:rsidR="00E35213" w:rsidRDefault="00000000">
            <w:pPr>
              <w:pStyle w:val="TableParagraph"/>
              <w:spacing w:before="129"/>
              <w:ind w:left="206" w:right="16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RMVC – 601</w:t>
            </w:r>
          </w:p>
        </w:tc>
        <w:tc>
          <w:tcPr>
            <w:tcW w:w="6680" w:type="dxa"/>
            <w:vAlign w:val="center"/>
          </w:tcPr>
          <w:p w14:paraId="0E6943B0" w14:textId="77777777" w:rsidR="00E35213" w:rsidRDefault="00000000">
            <w:pPr>
              <w:pStyle w:val="TableParagraph"/>
              <w:spacing w:before="2" w:line="226" w:lineRule="exact"/>
              <w:ind w:left="732" w:hanging="500"/>
              <w:rPr>
                <w:rFonts w:asciiTheme="minorHAnsi" w:hAnsiTheme="minorHAnsi" w:cstheme="minorHAnsi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Беспроводной моющий пылесос в комплекте с ЗУ </w:t>
            </w:r>
            <w:r>
              <w:rPr>
                <w:rFonts w:asciiTheme="minorHAnsi" w:hAnsiTheme="minorHAnsi" w:cstheme="minorHAnsi"/>
                <w:szCs w:val="20"/>
              </w:rPr>
              <w:t>RMVC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>-601</w:t>
            </w:r>
          </w:p>
        </w:tc>
      </w:tr>
      <w:tr w:rsidR="00E35213" w14:paraId="29BD13D7" w14:textId="77777777">
        <w:trPr>
          <w:trHeight w:val="502"/>
        </w:trPr>
        <w:tc>
          <w:tcPr>
            <w:tcW w:w="2243" w:type="dxa"/>
            <w:vAlign w:val="center"/>
          </w:tcPr>
          <w:p w14:paraId="4B3FBF08" w14:textId="77777777" w:rsidR="00E35213" w:rsidRDefault="00000000">
            <w:pPr>
              <w:pStyle w:val="TableParagraph"/>
              <w:spacing w:before="129"/>
              <w:ind w:left="206" w:right="16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RMVC – 603х</w:t>
            </w:r>
          </w:p>
        </w:tc>
        <w:tc>
          <w:tcPr>
            <w:tcW w:w="6680" w:type="dxa"/>
            <w:vAlign w:val="center"/>
          </w:tcPr>
          <w:p w14:paraId="6790669A" w14:textId="77777777" w:rsidR="00E35213" w:rsidRDefault="00000000">
            <w:pPr>
              <w:pStyle w:val="TableParagraph"/>
              <w:spacing w:before="2" w:line="226" w:lineRule="exact"/>
              <w:ind w:left="732" w:hanging="500"/>
              <w:rPr>
                <w:rFonts w:asciiTheme="minorHAnsi" w:hAnsiTheme="minorHAnsi" w:cstheme="minorHAnsi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Беспроводной моющий пылесос в комплекте с ЗУ </w:t>
            </w:r>
            <w:r>
              <w:rPr>
                <w:rFonts w:asciiTheme="minorHAnsi" w:hAnsiTheme="minorHAnsi" w:cstheme="minorHAnsi"/>
                <w:szCs w:val="20"/>
              </w:rPr>
              <w:t>RMVC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>-603х</w:t>
            </w:r>
          </w:p>
        </w:tc>
      </w:tr>
      <w:tr w:rsidR="00E35213" w14:paraId="24E3026E" w14:textId="77777777">
        <w:trPr>
          <w:trHeight w:val="502"/>
        </w:trPr>
        <w:tc>
          <w:tcPr>
            <w:tcW w:w="2243" w:type="dxa"/>
            <w:vAlign w:val="center"/>
          </w:tcPr>
          <w:p w14:paraId="4C4BB036" w14:textId="77777777" w:rsidR="00E35213" w:rsidRDefault="00000000">
            <w:pPr>
              <w:pStyle w:val="TableParagraph"/>
              <w:spacing w:before="129"/>
              <w:ind w:left="206" w:right="16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RMB – 707S</w:t>
            </w:r>
          </w:p>
        </w:tc>
        <w:tc>
          <w:tcPr>
            <w:tcW w:w="6680" w:type="dxa"/>
            <w:vAlign w:val="center"/>
          </w:tcPr>
          <w:p w14:paraId="0EB3DAF1" w14:textId="77777777" w:rsidR="00E35213" w:rsidRDefault="00000000">
            <w:pPr>
              <w:pStyle w:val="TableParagraph"/>
              <w:spacing w:before="2" w:line="226" w:lineRule="exact"/>
              <w:ind w:left="732" w:hanging="500"/>
              <w:rPr>
                <w:rFonts w:asciiTheme="minorHAnsi" w:hAnsiTheme="minorHAnsi" w:cstheme="minorHAnsi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Фен-стайлер с сенсорным включением </w:t>
            </w:r>
            <w:r>
              <w:rPr>
                <w:rFonts w:asciiTheme="minorHAnsi" w:hAnsiTheme="minorHAnsi" w:cstheme="minorHAnsi"/>
                <w:szCs w:val="20"/>
              </w:rPr>
              <w:t>Model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>, графит, 3 насадки</w:t>
            </w:r>
          </w:p>
        </w:tc>
      </w:tr>
      <w:tr w:rsidR="00E35213" w14:paraId="215C411E" w14:textId="77777777">
        <w:trPr>
          <w:trHeight w:val="502"/>
        </w:trPr>
        <w:tc>
          <w:tcPr>
            <w:tcW w:w="2243" w:type="dxa"/>
            <w:vAlign w:val="center"/>
          </w:tcPr>
          <w:p w14:paraId="33E0F640" w14:textId="77777777" w:rsidR="00E35213" w:rsidRDefault="00000000">
            <w:pPr>
              <w:pStyle w:val="TableParagraph"/>
              <w:spacing w:before="129"/>
              <w:ind w:left="206" w:right="16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RMB – 708S</w:t>
            </w:r>
          </w:p>
        </w:tc>
        <w:tc>
          <w:tcPr>
            <w:tcW w:w="6680" w:type="dxa"/>
            <w:vAlign w:val="center"/>
          </w:tcPr>
          <w:p w14:paraId="5853C93E" w14:textId="77777777" w:rsidR="00E35213" w:rsidRDefault="00000000">
            <w:pPr>
              <w:pStyle w:val="TableParagraph"/>
              <w:spacing w:before="2" w:line="226" w:lineRule="exact"/>
              <w:ind w:left="732" w:hanging="500"/>
              <w:rPr>
                <w:rFonts w:asciiTheme="minorHAnsi" w:hAnsiTheme="minorHAnsi" w:cstheme="minorHAnsi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Фен-стайлер с сенсорным включением </w:t>
            </w:r>
            <w:r>
              <w:rPr>
                <w:rFonts w:asciiTheme="minorHAnsi" w:hAnsiTheme="minorHAnsi" w:cstheme="minorHAnsi"/>
                <w:szCs w:val="20"/>
              </w:rPr>
              <w:t>Model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>, белый, 3 насадки</w:t>
            </w:r>
          </w:p>
        </w:tc>
      </w:tr>
      <w:tr w:rsidR="00E35213" w14:paraId="067102D9" w14:textId="77777777">
        <w:trPr>
          <w:trHeight w:val="502"/>
        </w:trPr>
        <w:tc>
          <w:tcPr>
            <w:tcW w:w="2243" w:type="dxa"/>
            <w:vAlign w:val="center"/>
          </w:tcPr>
          <w:p w14:paraId="6B3ADD75" w14:textId="77777777" w:rsidR="00E35213" w:rsidRDefault="00000000">
            <w:pPr>
              <w:pStyle w:val="TableParagraph"/>
              <w:spacing w:before="129"/>
              <w:ind w:left="206" w:right="16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RMB – 707SB</w:t>
            </w:r>
          </w:p>
        </w:tc>
        <w:tc>
          <w:tcPr>
            <w:tcW w:w="6680" w:type="dxa"/>
            <w:vAlign w:val="center"/>
          </w:tcPr>
          <w:p w14:paraId="4C4ECF3C" w14:textId="77777777" w:rsidR="00E35213" w:rsidRDefault="00000000">
            <w:pPr>
              <w:pStyle w:val="TableParagraph"/>
              <w:spacing w:before="2" w:line="226" w:lineRule="exact"/>
              <w:ind w:left="732" w:hanging="500"/>
              <w:rPr>
                <w:rFonts w:asciiTheme="minorHAnsi" w:hAnsiTheme="minorHAnsi" w:cstheme="minorHAnsi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Фен-стайлер с сенсорным включением </w:t>
            </w:r>
            <w:r>
              <w:rPr>
                <w:rFonts w:asciiTheme="minorHAnsi" w:hAnsiTheme="minorHAnsi" w:cstheme="minorHAnsi"/>
                <w:szCs w:val="20"/>
              </w:rPr>
              <w:t>Model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>+, графит, 5 насадок</w:t>
            </w:r>
          </w:p>
        </w:tc>
      </w:tr>
      <w:tr w:rsidR="00E35213" w14:paraId="580A33B2" w14:textId="77777777">
        <w:trPr>
          <w:trHeight w:val="502"/>
        </w:trPr>
        <w:tc>
          <w:tcPr>
            <w:tcW w:w="2243" w:type="dxa"/>
            <w:vAlign w:val="center"/>
          </w:tcPr>
          <w:p w14:paraId="3886EE56" w14:textId="77777777" w:rsidR="00E35213" w:rsidRDefault="00000000">
            <w:pPr>
              <w:pStyle w:val="TableParagraph"/>
              <w:spacing w:before="129"/>
              <w:ind w:left="206" w:right="16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RMB – 708SB</w:t>
            </w:r>
          </w:p>
        </w:tc>
        <w:tc>
          <w:tcPr>
            <w:tcW w:w="6680" w:type="dxa"/>
            <w:vAlign w:val="center"/>
          </w:tcPr>
          <w:p w14:paraId="2B72393A" w14:textId="77777777" w:rsidR="00E35213" w:rsidRDefault="00000000">
            <w:pPr>
              <w:pStyle w:val="TableParagraph"/>
              <w:spacing w:before="2" w:line="226" w:lineRule="exact"/>
              <w:ind w:left="732" w:hanging="500"/>
              <w:rPr>
                <w:rFonts w:asciiTheme="minorHAnsi" w:hAnsiTheme="minorHAnsi" w:cstheme="minorHAnsi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Фен-стайлер с сенсорным включением </w:t>
            </w:r>
            <w:r>
              <w:rPr>
                <w:rFonts w:asciiTheme="minorHAnsi" w:hAnsiTheme="minorHAnsi" w:cstheme="minorHAnsi"/>
                <w:szCs w:val="20"/>
              </w:rPr>
              <w:t>Model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ru-RU"/>
              </w:rPr>
              <w:t>+, белый, 5 насадок</w:t>
            </w:r>
          </w:p>
        </w:tc>
      </w:tr>
    </w:tbl>
    <w:p w14:paraId="1A6E1466" w14:textId="77777777" w:rsidR="00E35213" w:rsidRDefault="00E35213">
      <w:pPr>
        <w:pStyle w:val="af9"/>
        <w:spacing w:before="2"/>
        <w:rPr>
          <w:rFonts w:asciiTheme="minorHAnsi" w:hAnsiTheme="minorHAnsi" w:cstheme="minorHAnsi"/>
          <w:sz w:val="22"/>
          <w:szCs w:val="20"/>
        </w:rPr>
      </w:pPr>
    </w:p>
    <w:p w14:paraId="0C1153A4" w14:textId="77777777" w:rsidR="00E35213" w:rsidRDefault="00E35213">
      <w:pPr>
        <w:pStyle w:val="af9"/>
        <w:spacing w:before="54" w:line="215" w:lineRule="exact"/>
        <w:ind w:right="171"/>
        <w:rPr>
          <w:rFonts w:asciiTheme="minorHAnsi" w:hAnsiTheme="minorHAnsi" w:cstheme="minorHAnsi"/>
          <w:sz w:val="22"/>
          <w:szCs w:val="20"/>
        </w:rPr>
      </w:pPr>
    </w:p>
    <w:p w14:paraId="0FC2721A" w14:textId="77777777" w:rsidR="00E35213" w:rsidRDefault="00E35213">
      <w:pPr>
        <w:tabs>
          <w:tab w:val="left" w:pos="4649"/>
        </w:tabs>
        <w:spacing w:before="93"/>
        <w:ind w:right="141"/>
        <w:jc w:val="center"/>
        <w:rPr>
          <w:rFonts w:asciiTheme="minorHAnsi" w:hAnsiTheme="minorHAnsi" w:cstheme="minorHAnsi"/>
          <w:b/>
          <w:szCs w:val="20"/>
        </w:rPr>
      </w:pPr>
    </w:p>
    <w:p w14:paraId="31A019C6" w14:textId="77777777" w:rsidR="00E35213" w:rsidRDefault="00E35213"/>
    <w:sectPr w:rsidR="00E35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4C" w14:textId="77777777" w:rsidR="001E6B54" w:rsidRDefault="001E6B54">
      <w:r>
        <w:separator/>
      </w:r>
    </w:p>
  </w:endnote>
  <w:endnote w:type="continuationSeparator" w:id="0">
    <w:p w14:paraId="5DC5C03E" w14:textId="77777777" w:rsidR="001E6B54" w:rsidRDefault="001E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726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8B52D7" w14:textId="77777777" w:rsidR="00E35213" w:rsidRDefault="00000000">
            <w:pPr>
              <w:pStyle w:val="af7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5ECA7" w14:textId="77777777" w:rsidR="00E35213" w:rsidRDefault="00E3521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48C" w14:textId="77777777" w:rsidR="001E6B54" w:rsidRDefault="001E6B54">
      <w:r>
        <w:separator/>
      </w:r>
    </w:p>
  </w:footnote>
  <w:footnote w:type="continuationSeparator" w:id="0">
    <w:p w14:paraId="44120A14" w14:textId="77777777" w:rsidR="001E6B54" w:rsidRDefault="001E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609"/>
    <w:multiLevelType w:val="hybridMultilevel"/>
    <w:tmpl w:val="7944BF2E"/>
    <w:lvl w:ilvl="0" w:tplc="0010D72A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DE68F2A6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667C0FC6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6A781164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72861A28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D68EC36E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9DEC35A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DA1C2050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28C2DCE6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4A1C512B"/>
    <w:multiLevelType w:val="hybridMultilevel"/>
    <w:tmpl w:val="571C1DAE"/>
    <w:lvl w:ilvl="0" w:tplc="23862BBA">
      <w:start w:val="1"/>
      <w:numFmt w:val="decimal"/>
      <w:lvlText w:val="%1."/>
      <w:lvlJc w:val="left"/>
      <w:pPr>
        <w:ind w:left="888" w:hanging="360"/>
      </w:pPr>
    </w:lvl>
    <w:lvl w:ilvl="1" w:tplc="EA3495E0">
      <w:start w:val="1"/>
      <w:numFmt w:val="lowerLetter"/>
      <w:lvlText w:val="%2."/>
      <w:lvlJc w:val="left"/>
      <w:pPr>
        <w:ind w:left="1608" w:hanging="360"/>
      </w:pPr>
    </w:lvl>
    <w:lvl w:ilvl="2" w:tplc="4B56AAEE">
      <w:start w:val="1"/>
      <w:numFmt w:val="lowerRoman"/>
      <w:lvlText w:val="%3."/>
      <w:lvlJc w:val="right"/>
      <w:pPr>
        <w:ind w:left="2328" w:hanging="180"/>
      </w:pPr>
    </w:lvl>
    <w:lvl w:ilvl="3" w:tplc="F0101878">
      <w:start w:val="1"/>
      <w:numFmt w:val="decimal"/>
      <w:lvlText w:val="%4."/>
      <w:lvlJc w:val="left"/>
      <w:pPr>
        <w:ind w:left="3048" w:hanging="360"/>
      </w:pPr>
    </w:lvl>
    <w:lvl w:ilvl="4" w:tplc="248C75BC">
      <w:start w:val="1"/>
      <w:numFmt w:val="lowerLetter"/>
      <w:lvlText w:val="%5."/>
      <w:lvlJc w:val="left"/>
      <w:pPr>
        <w:ind w:left="3768" w:hanging="360"/>
      </w:pPr>
    </w:lvl>
    <w:lvl w:ilvl="5" w:tplc="373E9F24">
      <w:start w:val="1"/>
      <w:numFmt w:val="lowerRoman"/>
      <w:lvlText w:val="%6."/>
      <w:lvlJc w:val="right"/>
      <w:pPr>
        <w:ind w:left="4488" w:hanging="180"/>
      </w:pPr>
    </w:lvl>
    <w:lvl w:ilvl="6" w:tplc="92820322">
      <w:start w:val="1"/>
      <w:numFmt w:val="decimal"/>
      <w:lvlText w:val="%7."/>
      <w:lvlJc w:val="left"/>
      <w:pPr>
        <w:ind w:left="5208" w:hanging="360"/>
      </w:pPr>
    </w:lvl>
    <w:lvl w:ilvl="7" w:tplc="7B003BCC">
      <w:start w:val="1"/>
      <w:numFmt w:val="lowerLetter"/>
      <w:lvlText w:val="%8."/>
      <w:lvlJc w:val="left"/>
      <w:pPr>
        <w:ind w:left="5928" w:hanging="360"/>
      </w:pPr>
    </w:lvl>
    <w:lvl w:ilvl="8" w:tplc="8CF0419C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79C95807"/>
    <w:multiLevelType w:val="hybridMultilevel"/>
    <w:tmpl w:val="8F764132"/>
    <w:lvl w:ilvl="0" w:tplc="A9024E18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6A8CE41A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3C32CD36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B287FF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BA025B76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25EE7916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DF52CC5E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E190DF7E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7144CDCE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 w16cid:durableId="1030423776">
    <w:abstractNumId w:val="1"/>
  </w:num>
  <w:num w:numId="2" w16cid:durableId="1323585588">
    <w:abstractNumId w:val="2"/>
  </w:num>
  <w:num w:numId="3" w16cid:durableId="133637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13"/>
    <w:rsid w:val="001E6B54"/>
    <w:rsid w:val="004F1CA4"/>
    <w:rsid w:val="00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D88E"/>
  <w15:docId w15:val="{8B86E9B2-5B9F-471E-B284-1BCE4A9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3"/>
      <w:ind w:left="128" w:right="141"/>
      <w:jc w:val="center"/>
      <w:outlineLvl w:val="1"/>
    </w:pPr>
    <w:rPr>
      <w:b/>
      <w:bCs/>
      <w:sz w:val="19"/>
      <w:szCs w:val="19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472C4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sz w:val="19"/>
      <w:szCs w:val="19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Pr>
      <w:sz w:val="19"/>
      <w:szCs w:val="19"/>
    </w:rPr>
  </w:style>
  <w:style w:type="character" w:customStyle="1" w:styleId="afa">
    <w:name w:val="Основной текст Знак"/>
    <w:basedOn w:val="a0"/>
    <w:link w:val="af9"/>
    <w:uiPriority w:val="1"/>
    <w:rPr>
      <w:rFonts w:ascii="Cambria" w:eastAsia="Cambria" w:hAnsi="Cambria" w:cs="Cambria"/>
      <w:sz w:val="19"/>
      <w:szCs w:val="19"/>
    </w:rPr>
  </w:style>
  <w:style w:type="paragraph" w:styleId="afb">
    <w:name w:val="List Paragraph"/>
    <w:basedOn w:val="a"/>
    <w:uiPriority w:val="1"/>
    <w:qFormat/>
    <w:pPr>
      <w:ind w:left="138" w:firstLine="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mbria" w:eastAsia="Cambria" w:hAnsi="Cambria" w:cs="Cambria"/>
      <w:sz w:val="20"/>
      <w:szCs w:val="20"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2683</Words>
  <Characters>15297</Characters>
  <Application>Microsoft Office Word</Application>
  <DocSecurity>0</DocSecurity>
  <Lines>127</Lines>
  <Paragraphs>35</Paragraphs>
  <ScaleCrop>false</ScaleCrop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booblechka@outlook.com</dc:creator>
  <cp:keywords/>
  <dc:description/>
  <cp:lastModifiedBy>booblechka@outlook.com</cp:lastModifiedBy>
  <cp:revision>27</cp:revision>
  <dcterms:created xsi:type="dcterms:W3CDTF">2025-04-14T06:28:00Z</dcterms:created>
  <dcterms:modified xsi:type="dcterms:W3CDTF">2025-07-01T06:53:00Z</dcterms:modified>
</cp:coreProperties>
</file>